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199A9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b/>
          <w:bCs/>
          <w:kern w:val="0"/>
          <w:sz w:val="22"/>
          <w:szCs w:val="22"/>
        </w:rPr>
      </w:pPr>
      <w:r>
        <w:rPr>
          <w:rFonts w:ascii="Arial" w:hAnsi="Arial" w:cs="Arial"/>
          <w:b/>
          <w:bCs/>
          <w:kern w:val="0"/>
          <w:sz w:val="22"/>
          <w:szCs w:val="22"/>
        </w:rPr>
        <w:t xml:space="preserve">Title </w:t>
      </w:r>
    </w:p>
    <w:p w14:paraId="0EF0B845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First N. N. Last</w:t>
      </w:r>
      <w:r>
        <w:rPr>
          <w:rFonts w:ascii="Arial" w:hAnsi="Arial" w:cs="Arial"/>
          <w:kern w:val="0"/>
          <w:sz w:val="22"/>
          <w:szCs w:val="22"/>
          <w:vertAlign w:val="superscript"/>
        </w:rPr>
        <w:t>a</w:t>
      </w:r>
      <w:r>
        <w:rPr>
          <w:rFonts w:ascii="Arial" w:hAnsi="Arial" w:cs="Arial"/>
          <w:kern w:val="0"/>
          <w:sz w:val="22"/>
          <w:szCs w:val="22"/>
        </w:rPr>
        <w:t>, First N. N. Last</w:t>
      </w:r>
      <w:r>
        <w:rPr>
          <w:rFonts w:ascii="Arial" w:hAnsi="Arial" w:cs="Arial"/>
          <w:kern w:val="0"/>
          <w:sz w:val="22"/>
          <w:szCs w:val="22"/>
          <w:vertAlign w:val="superscript"/>
        </w:rPr>
        <w:t>b</w:t>
      </w:r>
      <w:r>
        <w:rPr>
          <w:rFonts w:ascii="Arial" w:hAnsi="Arial" w:cs="Arial"/>
          <w:kern w:val="0"/>
          <w:sz w:val="22"/>
          <w:szCs w:val="22"/>
        </w:rPr>
        <w:t xml:space="preserve"> (Example: Jane G. Doe</w:t>
      </w:r>
      <w:r>
        <w:rPr>
          <w:rFonts w:ascii="Arial" w:hAnsi="Arial" w:cs="Arial"/>
          <w:i/>
          <w:iCs/>
          <w:kern w:val="0"/>
          <w:sz w:val="22"/>
          <w:szCs w:val="22"/>
          <w:vertAlign w:val="superscript"/>
        </w:rPr>
        <w:t>a</w:t>
      </w:r>
      <w:r>
        <w:rPr>
          <w:rFonts w:ascii="Arial" w:hAnsi="Arial" w:cs="Arial"/>
          <w:kern w:val="0"/>
          <w:sz w:val="22"/>
          <w:szCs w:val="22"/>
        </w:rPr>
        <w:t>)</w:t>
      </w:r>
    </w:p>
    <w:p w14:paraId="43D9FAAB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kern w:val="0"/>
          <w:sz w:val="22"/>
          <w:szCs w:val="22"/>
          <w:vertAlign w:val="superscript"/>
        </w:rPr>
      </w:pPr>
    </w:p>
    <w:p w14:paraId="1C725687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i/>
          <w:iCs/>
          <w:kern w:val="0"/>
          <w:sz w:val="22"/>
          <w:szCs w:val="22"/>
        </w:rPr>
      </w:pPr>
      <w:r>
        <w:rPr>
          <w:rFonts w:ascii="Arial" w:hAnsi="Arial" w:cs="Arial"/>
          <w:i/>
          <w:iCs/>
          <w:kern w:val="0"/>
          <w:sz w:val="22"/>
          <w:szCs w:val="22"/>
          <w:vertAlign w:val="superscript"/>
        </w:rPr>
        <w:t>a</w:t>
      </w:r>
      <w:r>
        <w:rPr>
          <w:rFonts w:ascii="Arial" w:hAnsi="Arial" w:cs="Arial"/>
          <w:i/>
          <w:iCs/>
          <w:kern w:val="0"/>
          <w:sz w:val="22"/>
          <w:szCs w:val="22"/>
        </w:rPr>
        <w:t>Affiliation 2</w:t>
      </w:r>
    </w:p>
    <w:p w14:paraId="696E3BCD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i/>
          <w:iCs/>
          <w:kern w:val="0"/>
          <w:sz w:val="22"/>
          <w:szCs w:val="22"/>
        </w:rPr>
      </w:pPr>
      <w:r>
        <w:rPr>
          <w:rFonts w:ascii="Arial" w:hAnsi="Arial" w:cs="Arial"/>
          <w:i/>
          <w:iCs/>
          <w:kern w:val="0"/>
          <w:sz w:val="22"/>
          <w:szCs w:val="22"/>
          <w:vertAlign w:val="superscript"/>
        </w:rPr>
        <w:t>b</w:t>
      </w:r>
      <w:r>
        <w:rPr>
          <w:rFonts w:ascii="Arial" w:hAnsi="Arial" w:cs="Arial"/>
          <w:i/>
          <w:iCs/>
          <w:kern w:val="0"/>
          <w:sz w:val="22"/>
          <w:szCs w:val="22"/>
        </w:rPr>
        <w:t>Affiliation 2</w:t>
      </w:r>
    </w:p>
    <w:p w14:paraId="44F9219B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kern w:val="0"/>
          <w:sz w:val="22"/>
          <w:szCs w:val="22"/>
        </w:rPr>
      </w:pPr>
    </w:p>
    <w:p w14:paraId="248B13FF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E-mail address:</w:t>
      </w:r>
    </w:p>
    <w:p w14:paraId="068AEB91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720"/>
        <w:jc w:val="both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Presenting author:  </w:t>
      </w:r>
    </w:p>
    <w:p w14:paraId="1A7BC98F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jc w:val="both"/>
        <w:rPr>
          <w:rFonts w:ascii="Arial" w:hAnsi="Arial" w:cs="Arial"/>
          <w:kern w:val="0"/>
          <w:sz w:val="22"/>
          <w:szCs w:val="22"/>
        </w:rPr>
      </w:pPr>
    </w:p>
    <w:p w14:paraId="19F0290D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jc w:val="both"/>
        <w:rPr>
          <w:rFonts w:ascii="Times New Roman" w:hAnsi="Times New Roman" w:cs="Times New Roman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Abstract text</w:t>
      </w:r>
      <w:r>
        <w:rPr>
          <w:rFonts w:ascii="Times New Roman" w:hAnsi="Times New Roman" w:cs="Times New Roman"/>
          <w:kern w:val="0"/>
          <w:sz w:val="22"/>
          <w:szCs w:val="22"/>
        </w:rPr>
        <w:t>.</w:t>
      </w:r>
      <w:r>
        <w:rPr>
          <w:rFonts w:ascii="Arial" w:hAnsi="Arial" w:cs="Arial"/>
          <w:kern w:val="0"/>
          <w:sz w:val="22"/>
          <w:szCs w:val="22"/>
          <w:vertAlign w:val="superscript"/>
        </w:rPr>
        <w:t>[1,2]</w:t>
      </w:r>
      <w:r>
        <w:rPr>
          <w:rFonts w:ascii="Arial" w:hAnsi="Arial" w:cs="Arial"/>
          <w:kern w:val="0"/>
          <w:sz w:val="22"/>
          <w:szCs w:val="22"/>
        </w:rPr>
        <w:t xml:space="preserve"> More text</w:t>
      </w:r>
      <w:r>
        <w:rPr>
          <w:rFonts w:ascii="Times New Roman" w:hAnsi="Times New Roman" w:cs="Times New Roman"/>
          <w:kern w:val="0"/>
          <w:sz w:val="22"/>
          <w:szCs w:val="22"/>
        </w:rPr>
        <w:t>.</w:t>
      </w:r>
    </w:p>
    <w:p w14:paraId="2D6390BF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Times New Roman" w:hAnsi="Times New Roman" w:cs="Times New Roman"/>
          <w:kern w:val="0"/>
          <w:sz w:val="22"/>
          <w:szCs w:val="22"/>
        </w:rPr>
      </w:pPr>
    </w:p>
    <w:p w14:paraId="5FB4ABA1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[1] P. Mitchell, Coupling of phosphorylation to electron and hydrogen transfer by a chemi-osmotic type of mechanism, Nature 191(4784) (1961) 144–148, https://doi.org/10.1038/191144a0</w:t>
      </w:r>
    </w:p>
    <w:p w14:paraId="31291AD4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[2] V.R.I. Kaila, M. Wikström, Architecture of bacterial respiratory chains. Nat. Rev. Microbiol. 19, (2021), 319−330. https://doi.org/10.1038/s41579-020-00486-4</w:t>
      </w:r>
    </w:p>
    <w:p w14:paraId="10F6FA9B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</w:p>
    <w:p w14:paraId="6DF8B9A3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 xml:space="preserve">[remove the text below] </w:t>
      </w:r>
    </w:p>
    <w:p w14:paraId="79F69E4B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Instructions:</w:t>
      </w:r>
    </w:p>
    <w:p w14:paraId="05239BA9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Save your abstract with the file name: “Topic_Contributiontype_First_Last.pdf”</w:t>
      </w:r>
    </w:p>
    <w:p w14:paraId="421751F9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Example: “</w:t>
      </w:r>
      <w:r>
        <w:rPr>
          <w:rFonts w:ascii="Arial" w:hAnsi="Arial" w:cs="Arial"/>
          <w:color w:val="1D1C1D"/>
          <w:kern w:val="0"/>
          <w:sz w:val="20"/>
          <w:szCs w:val="20"/>
        </w:rPr>
        <w:t>S5_P_J_Doe.rtf” or “S1_T_J_Doe.rtf”</w:t>
      </w:r>
    </w:p>
    <w:p w14:paraId="13B0A469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</w:p>
    <w:p w14:paraId="7AA019A5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with the topic marking (see list below)</w:t>
      </w:r>
    </w:p>
    <w:p w14:paraId="6B04D669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</w:p>
    <w:p w14:paraId="33A26392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Topic list:</w:t>
      </w:r>
    </w:p>
    <w:p w14:paraId="77D2A164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S1. Structure &amp; function of respiratory chain proteins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S2. Bioenergetic complexes &amp; supercomplexes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S3. Redox enzymes, electron transfer, electron bifurcation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S4. Terminal oxidases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S5. Complex I and related systems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S6. ATP synthase and ATPases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S7. Photosynthetic energy conversion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S8. Light-driven ion pumps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S9. Transporters and channels</w:t>
      </w:r>
    </w:p>
    <w:p w14:paraId="668672DC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S10. Prokaryotic bioenergetics, microbial drug targets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S11. Bioenergetics of pathogens and parasites</w:t>
      </w:r>
    </w:p>
    <w:p w14:paraId="4EF15396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S12. Protein assembly and function, organelle dynamics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 xml:space="preserve">S13. Early bioenergetics / Origin of Life/ Evolution of bioenergetic enzymes 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S14. Mitochondrial physiology  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S15. Bioenergetics in health &amp; disease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S16. Recent methodological developments in bioenergetics</w:t>
      </w:r>
      <w:r>
        <w:rPr>
          <w:rFonts w:ascii="MS Gothic" w:eastAsia="MS Gothic" w:hAnsi="MS Gothic" w:cs="MS Gothic" w:hint="eastAsia"/>
          <w:kern w:val="0"/>
          <w:sz w:val="20"/>
          <w:szCs w:val="20"/>
        </w:rPr>
        <w:t> </w:t>
      </w:r>
      <w:r>
        <w:rPr>
          <w:rFonts w:ascii="Arial" w:hAnsi="Arial" w:cs="Arial"/>
          <w:kern w:val="0"/>
          <w:sz w:val="20"/>
          <w:szCs w:val="20"/>
        </w:rPr>
        <w:t>S17. Early career contribution</w:t>
      </w:r>
    </w:p>
    <w:p w14:paraId="1B209063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Helvetica Neue" w:hAnsi="Helvetica Neue" w:cs="Helvetica Neue"/>
          <w:kern w:val="0"/>
          <w:sz w:val="26"/>
          <w:szCs w:val="26"/>
        </w:rPr>
      </w:pPr>
      <w:r>
        <w:rPr>
          <w:rFonts w:ascii="Arial" w:hAnsi="Arial" w:cs="Arial"/>
          <w:kern w:val="0"/>
          <w:sz w:val="20"/>
          <w:szCs w:val="20"/>
        </w:rPr>
        <w:t>S18. Fundamental mechanistic bioenergetics </w:t>
      </w:r>
    </w:p>
    <w:p w14:paraId="4B4FF936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Helvetica Neue" w:hAnsi="Helvetica Neue" w:cs="Helvetica Neue"/>
          <w:kern w:val="0"/>
          <w:sz w:val="26"/>
          <w:szCs w:val="26"/>
        </w:rPr>
      </w:pPr>
    </w:p>
    <w:p w14:paraId="56185EE3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</w:p>
    <w:p w14:paraId="7FFD153C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</w:p>
    <w:p w14:paraId="2B2498C8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</w:rPr>
        <w:t>Contribution type:</w:t>
      </w:r>
    </w:p>
    <w:p w14:paraId="3605FF68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Poster – P and Talk – T</w:t>
      </w:r>
    </w:p>
    <w:p w14:paraId="1F240EF3" w14:textId="77777777" w:rsidR="007C6B2F" w:rsidRDefault="007C6B2F" w:rsidP="007C6B2F">
      <w:pPr>
        <w:autoSpaceDE w:val="0"/>
        <w:autoSpaceDN w:val="0"/>
        <w:adjustRightInd w:val="0"/>
        <w:spacing w:after="0" w:line="240" w:lineRule="auto"/>
        <w:ind w:right="-992"/>
        <w:rPr>
          <w:rFonts w:ascii="Arial" w:hAnsi="Arial" w:cs="Arial"/>
          <w:kern w:val="0"/>
          <w:sz w:val="22"/>
          <w:szCs w:val="22"/>
        </w:rPr>
      </w:pPr>
    </w:p>
    <w:p w14:paraId="4E20CDB1" w14:textId="77777777" w:rsidR="00A8017C" w:rsidRDefault="00A8017C"/>
    <w:sectPr w:rsidR="00A8017C" w:rsidSect="007C6B2F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2F"/>
    <w:rsid w:val="000C2A2B"/>
    <w:rsid w:val="0018085A"/>
    <w:rsid w:val="004F174C"/>
    <w:rsid w:val="007C6B2F"/>
    <w:rsid w:val="00A8017C"/>
    <w:rsid w:val="00AE4154"/>
    <w:rsid w:val="00C4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CC82AB"/>
  <w15:chartTrackingRefBased/>
  <w15:docId w15:val="{675D9129-2F37-1C4B-AAC7-DDF77EC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C6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C6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C6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C6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C6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C6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C6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C6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C6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C6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C6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C6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C6B2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C6B2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C6B2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C6B2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C6B2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C6B2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C6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C6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C6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C6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6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C6B2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C6B2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C6B2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C6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C6B2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C6B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1333</Characters>
  <Application>Microsoft Office Word</Application>
  <DocSecurity>0</DocSecurity>
  <Lines>22</Lines>
  <Paragraphs>4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Tuva Fornestedt</dc:creator>
  <cp:keywords/>
  <dc:description/>
  <cp:lastModifiedBy>Tuva Fornestedt</cp:lastModifiedBy>
  <cp:revision>1</cp:revision>
  <dcterms:created xsi:type="dcterms:W3CDTF">2026-04-07T08:54:00Z</dcterms:created>
  <dcterms:modified xsi:type="dcterms:W3CDTF">2026-04-07T08:54:00Z</dcterms:modified>
</cp:coreProperties>
</file>